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BF3B5" w14:textId="77777777" w:rsidR="00D335AA" w:rsidRPr="00286C29" w:rsidRDefault="00D335AA" w:rsidP="00B83FF6">
      <w:pPr>
        <w:suppressAutoHyphens/>
        <w:rPr>
          <w:sz w:val="40"/>
          <w:szCs w:val="40"/>
          <w:lang w:val="en-US"/>
        </w:rPr>
      </w:pPr>
      <w:r w:rsidRPr="00286C29">
        <w:rPr>
          <w:sz w:val="40"/>
          <w:szCs w:val="40"/>
          <w:lang w:val="en-US"/>
        </w:rPr>
        <w:t>Press Release</w:t>
      </w:r>
    </w:p>
    <w:p w14:paraId="1A5145D7" w14:textId="77777777" w:rsidR="00D335AA" w:rsidRPr="00286C29" w:rsidRDefault="00D335AA" w:rsidP="00B83FF6">
      <w:pPr>
        <w:suppressAutoHyphens/>
        <w:spacing w:line="360" w:lineRule="auto"/>
        <w:rPr>
          <w:lang w:val="en-US"/>
        </w:rPr>
      </w:pPr>
    </w:p>
    <w:p w14:paraId="4CF97090" w14:textId="7610080F" w:rsidR="00D335AA" w:rsidRPr="00286C29" w:rsidRDefault="00286C29" w:rsidP="00286C29">
      <w:pPr>
        <w:suppressAutoHyphens/>
        <w:spacing w:line="360" w:lineRule="auto"/>
        <w:ind w:right="1416"/>
        <w:rPr>
          <w:b/>
          <w:sz w:val="24"/>
          <w:lang w:val="en-US"/>
        </w:rPr>
      </w:pPr>
      <w:r w:rsidRPr="00286C29">
        <w:rPr>
          <w:b/>
          <w:bCs/>
          <w:sz w:val="24"/>
          <w:lang w:val="en-US"/>
        </w:rPr>
        <w:t>METRAVIEW: Intuitive platform for comprehensive energy data management</w:t>
      </w:r>
    </w:p>
    <w:p w14:paraId="18602CC4" w14:textId="1D170415" w:rsidR="00D335AA" w:rsidRPr="00286C29" w:rsidRDefault="00D335AA" w:rsidP="00B83FF6">
      <w:pPr>
        <w:suppressAutoHyphens/>
        <w:spacing w:line="360" w:lineRule="auto"/>
        <w:jc w:val="both"/>
        <w:rPr>
          <w:lang w:val="en-US"/>
        </w:rPr>
      </w:pPr>
    </w:p>
    <w:p w14:paraId="0E1F1D82" w14:textId="675EAFFE" w:rsidR="00C33F84" w:rsidRDefault="00286C29" w:rsidP="00C33F84">
      <w:pPr>
        <w:suppressAutoHyphens/>
        <w:spacing w:line="360" w:lineRule="auto"/>
        <w:jc w:val="both"/>
        <w:rPr>
          <w:rFonts w:cs="Arial"/>
          <w:lang w:val="en-US"/>
        </w:rPr>
      </w:pPr>
      <w:r w:rsidRPr="00286C29">
        <w:rPr>
          <w:rFonts w:cs="Arial"/>
          <w:lang w:val="en-US"/>
        </w:rPr>
        <w:t>Gossen Metrawatt presents a newly developed web-based platform solution for comprehensive, transparent energy data management</w:t>
      </w:r>
      <w:r w:rsidR="00D1620A">
        <w:rPr>
          <w:rFonts w:cs="Arial"/>
          <w:lang w:val="en-US"/>
        </w:rPr>
        <w:t>:</w:t>
      </w:r>
      <w:r w:rsidR="00D1620A" w:rsidRPr="00D1620A">
        <w:rPr>
          <w:rFonts w:cs="Arial"/>
          <w:lang w:val="en-US"/>
        </w:rPr>
        <w:t xml:space="preserve"> </w:t>
      </w:r>
      <w:r w:rsidR="00D1620A" w:rsidRPr="00286C29">
        <w:rPr>
          <w:rFonts w:cs="Arial"/>
          <w:lang w:val="en-US"/>
        </w:rPr>
        <w:t>METRAVIEW</w:t>
      </w:r>
      <w:r w:rsidR="00D1620A">
        <w:rPr>
          <w:rFonts w:cs="Arial"/>
          <w:lang w:val="en-US"/>
        </w:rPr>
        <w:t xml:space="preserve"> is a </w:t>
      </w:r>
      <w:r w:rsidRPr="00286C29">
        <w:rPr>
          <w:rFonts w:cs="Arial"/>
          <w:lang w:val="en-US"/>
        </w:rPr>
        <w:t xml:space="preserve">universally </w:t>
      </w:r>
      <w:r w:rsidR="00D1620A" w:rsidRPr="00D1620A">
        <w:rPr>
          <w:rFonts w:cs="Arial"/>
          <w:lang w:val="en-US"/>
        </w:rPr>
        <w:t xml:space="preserve">implementable </w:t>
      </w:r>
      <w:r w:rsidRPr="00286C29">
        <w:rPr>
          <w:rFonts w:cs="Arial"/>
          <w:lang w:val="en-US"/>
        </w:rPr>
        <w:t xml:space="preserve">software platform </w:t>
      </w:r>
      <w:r w:rsidR="00D1620A">
        <w:rPr>
          <w:rFonts w:cs="Arial"/>
          <w:lang w:val="en-US"/>
        </w:rPr>
        <w:t xml:space="preserve">for </w:t>
      </w:r>
      <w:r w:rsidR="00D1620A" w:rsidRPr="00D1620A">
        <w:rPr>
          <w:rFonts w:cs="Arial"/>
          <w:lang w:val="en-US"/>
        </w:rPr>
        <w:t>acquisition, storage, visualization and analysis of energy and process data</w:t>
      </w:r>
      <w:r w:rsidRPr="00286C29">
        <w:rPr>
          <w:rFonts w:cs="Arial"/>
          <w:lang w:val="en-US"/>
        </w:rPr>
        <w:t xml:space="preserve">. </w:t>
      </w:r>
      <w:r>
        <w:rPr>
          <w:rFonts w:cs="Arial"/>
          <w:lang w:val="en-US"/>
        </w:rPr>
        <w:t>It provides reliable a</w:t>
      </w:r>
      <w:r w:rsidRPr="00286C29">
        <w:rPr>
          <w:rFonts w:cs="Arial"/>
          <w:lang w:val="en-US"/>
        </w:rPr>
        <w:t xml:space="preserve">ccess to consumption data and key figures independent of location and device, supporting companies in the implementation of software-based energy management according to ISO 50001. METRAVIEW functions </w:t>
      </w:r>
      <w:r>
        <w:rPr>
          <w:rFonts w:cs="Arial"/>
          <w:lang w:val="en-US"/>
        </w:rPr>
        <w:t>include</w:t>
      </w:r>
      <w:r w:rsidRPr="00286C29">
        <w:rPr>
          <w:rFonts w:cs="Arial"/>
          <w:lang w:val="en-US"/>
        </w:rPr>
        <w:t xml:space="preserve"> checking the efficiency of measures in the PDCA cycle </w:t>
      </w:r>
      <w:r>
        <w:rPr>
          <w:rFonts w:cs="Arial"/>
          <w:lang w:val="en-US"/>
        </w:rPr>
        <w:t>and the</w:t>
      </w:r>
      <w:r w:rsidRPr="00286C29">
        <w:rPr>
          <w:rFonts w:cs="Arial"/>
          <w:lang w:val="en-US"/>
        </w:rPr>
        <w:t xml:space="preserve"> plausibility of data and measurement concepts, </w:t>
      </w:r>
      <w:r w:rsidR="00D1620A">
        <w:rPr>
          <w:rFonts w:cs="Arial"/>
          <w:lang w:val="en-US"/>
        </w:rPr>
        <w:t xml:space="preserve">furthermore </w:t>
      </w:r>
      <w:r w:rsidR="00A3284F">
        <w:rPr>
          <w:rFonts w:cs="Arial"/>
          <w:lang w:val="en-US"/>
        </w:rPr>
        <w:t>forecast</w:t>
      </w:r>
      <w:r w:rsidRPr="00286C29">
        <w:rPr>
          <w:rFonts w:cs="Arial"/>
          <w:lang w:val="en-US"/>
        </w:rPr>
        <w:t xml:space="preserve">s, energy data and cost </w:t>
      </w:r>
      <w:r w:rsidR="00A3284F">
        <w:rPr>
          <w:rFonts w:cs="Arial"/>
          <w:lang w:val="en-US"/>
        </w:rPr>
        <w:t>acquisition</w:t>
      </w:r>
      <w:r w:rsidR="00D1620A">
        <w:rPr>
          <w:rFonts w:cs="Arial"/>
          <w:lang w:val="en-US"/>
        </w:rPr>
        <w:t>,</w:t>
      </w:r>
      <w:r w:rsidRPr="00286C29">
        <w:rPr>
          <w:rFonts w:cs="Arial"/>
          <w:lang w:val="en-US"/>
        </w:rPr>
        <w:t xml:space="preserve"> cross-media consumption determination and cost center attribution.</w:t>
      </w:r>
    </w:p>
    <w:p w14:paraId="4C52C23D" w14:textId="77777777" w:rsidR="00C33F84" w:rsidRPr="00286C29" w:rsidRDefault="00C33F84" w:rsidP="00C33F84">
      <w:pPr>
        <w:suppressAutoHyphens/>
        <w:spacing w:line="360" w:lineRule="auto"/>
        <w:jc w:val="both"/>
        <w:rPr>
          <w:rFonts w:cs="Arial"/>
          <w:lang w:val="en-US"/>
        </w:rPr>
      </w:pPr>
    </w:p>
    <w:tbl>
      <w:tblPr>
        <w:tblStyle w:val="Tabellenrast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86"/>
      </w:tblGrid>
      <w:tr w:rsidR="00C33F84" w:rsidRPr="00286C29" w14:paraId="7A76A3B8" w14:textId="77777777" w:rsidTr="00DF5405">
        <w:trPr>
          <w:jc w:val="center"/>
        </w:trPr>
        <w:tc>
          <w:tcPr>
            <w:tcW w:w="5000" w:type="pct"/>
          </w:tcPr>
          <w:p w14:paraId="1DF27B73" w14:textId="77777777" w:rsidR="00C33F84" w:rsidRPr="00286C29" w:rsidRDefault="00C33F84" w:rsidP="00DF5405">
            <w:pPr>
              <w:suppressAutoHyphens/>
              <w:spacing w:after="120"/>
              <w:jc w:val="center"/>
              <w:rPr>
                <w:rFonts w:cs="Arial"/>
                <w:lang w:val="en-US"/>
              </w:rPr>
            </w:pPr>
            <w:r w:rsidRPr="00286C29">
              <w:rPr>
                <w:noProof/>
                <w:sz w:val="18"/>
                <w:szCs w:val="18"/>
                <w:lang w:val="en-US"/>
              </w:rPr>
              <w:drawing>
                <wp:inline distT="0" distB="0" distL="0" distR="0" wp14:anchorId="279B7C98" wp14:editId="1307978E">
                  <wp:extent cx="3049905" cy="2152650"/>
                  <wp:effectExtent l="0" t="0" r="0" b="0"/>
                  <wp:docPr id="96293616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9905" cy="2152650"/>
                          </a:xfrm>
                          <a:prstGeom prst="rect">
                            <a:avLst/>
                          </a:prstGeom>
                          <a:noFill/>
                          <a:ln>
                            <a:noFill/>
                          </a:ln>
                        </pic:spPr>
                      </pic:pic>
                    </a:graphicData>
                  </a:graphic>
                </wp:inline>
              </w:drawing>
            </w:r>
          </w:p>
        </w:tc>
      </w:tr>
      <w:tr w:rsidR="00C33F84" w:rsidRPr="00A3284F" w14:paraId="595FFD00" w14:textId="77777777" w:rsidTr="00DF5405">
        <w:trPr>
          <w:jc w:val="center"/>
        </w:trPr>
        <w:tc>
          <w:tcPr>
            <w:tcW w:w="5000" w:type="pct"/>
          </w:tcPr>
          <w:p w14:paraId="3473CBD8" w14:textId="5C914BE0" w:rsidR="00C33F84" w:rsidRPr="00286C29" w:rsidRDefault="00C33F84" w:rsidP="00DF5405">
            <w:pPr>
              <w:suppressAutoHyphens/>
              <w:jc w:val="center"/>
              <w:rPr>
                <w:rFonts w:cs="Arial"/>
                <w:lang w:val="en-US"/>
              </w:rPr>
            </w:pPr>
            <w:r w:rsidRPr="00286C29">
              <w:rPr>
                <w:rFonts w:cs="Arial"/>
                <w:b/>
                <w:sz w:val="18"/>
                <w:lang w:val="en-US"/>
              </w:rPr>
              <w:t>Caption:</w:t>
            </w:r>
            <w:r w:rsidRPr="00286C29">
              <w:rPr>
                <w:rFonts w:cs="Arial"/>
                <w:sz w:val="18"/>
                <w:lang w:val="en-US"/>
              </w:rPr>
              <w:t xml:space="preserve"> METRAVIEW:</w:t>
            </w:r>
            <w:r w:rsidR="00D1620A">
              <w:rPr>
                <w:rFonts w:cs="Arial"/>
                <w:sz w:val="18"/>
                <w:lang w:val="en-US"/>
              </w:rPr>
              <w:t xml:space="preserve"> t</w:t>
            </w:r>
            <w:r w:rsidRPr="00286C29">
              <w:rPr>
                <w:rFonts w:cs="Arial"/>
                <w:sz w:val="18"/>
                <w:lang w:val="en-US"/>
              </w:rPr>
              <w:t>he new, universal software platform for comprehensive, transparent energy data management according to ISO 50001</w:t>
            </w:r>
          </w:p>
        </w:tc>
      </w:tr>
    </w:tbl>
    <w:p w14:paraId="5279D98B" w14:textId="77777777" w:rsidR="00C33F84" w:rsidRPr="00286C29" w:rsidRDefault="00C33F84" w:rsidP="00C33F84">
      <w:pPr>
        <w:suppressAutoHyphens/>
        <w:spacing w:line="360" w:lineRule="auto"/>
        <w:jc w:val="both"/>
        <w:rPr>
          <w:rFonts w:cs="Arial"/>
          <w:lang w:val="en-US"/>
        </w:rPr>
      </w:pPr>
    </w:p>
    <w:p w14:paraId="3CA2169F" w14:textId="3DF6709C" w:rsidR="005B172E" w:rsidRPr="00286C29" w:rsidRDefault="00286C29" w:rsidP="00A3284F">
      <w:pPr>
        <w:suppressAutoHyphens/>
        <w:spacing w:line="360" w:lineRule="auto"/>
        <w:jc w:val="both"/>
        <w:rPr>
          <w:rFonts w:cs="Arial"/>
          <w:lang w:val="en-US"/>
        </w:rPr>
      </w:pPr>
      <w:r w:rsidRPr="00286C29">
        <w:rPr>
          <w:rFonts w:cs="Arial"/>
          <w:lang w:val="en-US"/>
        </w:rPr>
        <w:t>User-specific dashboards, high-quality process images and powerful trend analyses ensure simple, intuitive energy and process data evaluation. Graphical elements such as speedometer</w:t>
      </w:r>
      <w:r>
        <w:rPr>
          <w:rFonts w:cs="Arial"/>
          <w:lang w:val="en-US"/>
        </w:rPr>
        <w:t>s</w:t>
      </w:r>
      <w:r w:rsidRPr="00286C29">
        <w:rPr>
          <w:rFonts w:cs="Arial"/>
          <w:lang w:val="en-US"/>
        </w:rPr>
        <w:t>, bar graph</w:t>
      </w:r>
      <w:r>
        <w:rPr>
          <w:rFonts w:cs="Arial"/>
          <w:lang w:val="en-US"/>
        </w:rPr>
        <w:t>s</w:t>
      </w:r>
      <w:r w:rsidRPr="00286C29">
        <w:rPr>
          <w:rFonts w:cs="Arial"/>
          <w:lang w:val="en-US"/>
        </w:rPr>
        <w:t xml:space="preserve">, </w:t>
      </w:r>
      <w:r w:rsidR="00A3284F">
        <w:rPr>
          <w:rFonts w:cs="Arial"/>
          <w:lang w:val="en-US"/>
        </w:rPr>
        <w:t>total</w:t>
      </w:r>
      <w:r w:rsidRPr="00286C29">
        <w:rPr>
          <w:rFonts w:cs="Arial"/>
          <w:lang w:val="en-US"/>
        </w:rPr>
        <w:t xml:space="preserve">s or diagrams can be </w:t>
      </w:r>
      <w:r w:rsidR="00A3284F" w:rsidRPr="00A3284F">
        <w:rPr>
          <w:rFonts w:cs="Arial"/>
          <w:lang w:val="en-US"/>
        </w:rPr>
        <w:t>individually selected and organized in an easy manner</w:t>
      </w:r>
      <w:r w:rsidRPr="00286C29">
        <w:rPr>
          <w:rFonts w:cs="Arial"/>
          <w:lang w:val="en-US"/>
        </w:rPr>
        <w:t>. METRAVIEW</w:t>
      </w:r>
      <w:r>
        <w:rPr>
          <w:rFonts w:cs="Arial"/>
          <w:lang w:val="en-US"/>
        </w:rPr>
        <w:t>’</w:t>
      </w:r>
      <w:r w:rsidRPr="00286C29">
        <w:rPr>
          <w:rFonts w:cs="Arial"/>
          <w:lang w:val="en-US"/>
        </w:rPr>
        <w:t xml:space="preserve">s SCADA functionality ensures high-performance updating of all data, high refresh rates and high-quality system visualization in user-specific designs. Based on definable limit values, an integrated alarm platform triggers automatic warnings by email, phone or SMS in the event of a fault or greatly increased energy consumption. Thanks to long-term archiving of all operating and fault messages, historical events can be fully traced. Open standard interfaces based on OPC technology enable manufacturer-independent communication. Standard and application-specific protocols such as Modbus, IEC 60870-5-104 or Profinet can be easily </w:t>
      </w:r>
      <w:r w:rsidRPr="00286C29">
        <w:rPr>
          <w:rFonts w:cs="Arial"/>
          <w:lang w:val="en-US"/>
        </w:rPr>
        <w:lastRenderedPageBreak/>
        <w:t xml:space="preserve">implemented to connect existing and third-party hardware devices from a wide range of manufacturers. The user-friendly reporting tool allows for data to be converted into graphically enhanced reports and documentation. </w:t>
      </w:r>
      <w:r w:rsidR="00C33F84">
        <w:rPr>
          <w:rFonts w:cs="Arial"/>
          <w:lang w:val="en-US"/>
        </w:rPr>
        <w:t>T</w:t>
      </w:r>
      <w:r w:rsidRPr="00286C29">
        <w:rPr>
          <w:rFonts w:cs="Arial"/>
          <w:lang w:val="en-US"/>
        </w:rPr>
        <w:t xml:space="preserve">LS-encrypted access, two-factor authentication, configurable user management with </w:t>
      </w:r>
      <w:r w:rsidR="00A3284F" w:rsidRPr="00286C29">
        <w:rPr>
          <w:rFonts w:cs="Arial"/>
          <w:lang w:val="en-US"/>
        </w:rPr>
        <w:t>access</w:t>
      </w:r>
      <w:r w:rsidR="00A3284F">
        <w:rPr>
          <w:rFonts w:cs="Arial"/>
          <w:lang w:val="en-US"/>
        </w:rPr>
        <w:t xml:space="preserve"> rights at different</w:t>
      </w:r>
      <w:r w:rsidR="00C33F84">
        <w:rPr>
          <w:rFonts w:cs="Arial"/>
          <w:lang w:val="en-US"/>
        </w:rPr>
        <w:t xml:space="preserve"> </w:t>
      </w:r>
      <w:r w:rsidRPr="00286C29">
        <w:rPr>
          <w:rFonts w:cs="Arial"/>
          <w:lang w:val="en-US"/>
        </w:rPr>
        <w:t>levels, user-definable password requirements and adjustable log-in restrictions contribute to a high level of IT security.</w:t>
      </w:r>
    </w:p>
    <w:p w14:paraId="314AAD2D" w14:textId="614FB6E0" w:rsidR="005B172E" w:rsidRPr="00286C29" w:rsidRDefault="005B172E" w:rsidP="00B83FF6">
      <w:pPr>
        <w:suppressAutoHyphens/>
        <w:spacing w:line="360" w:lineRule="auto"/>
        <w:jc w:val="both"/>
        <w:rPr>
          <w:rFonts w:cs="Arial"/>
          <w:lang w:val="en-US"/>
        </w:rPr>
      </w:pPr>
    </w:p>
    <w:p w14:paraId="4A279354" w14:textId="6B4BE331" w:rsidR="00924329" w:rsidRPr="00286C29" w:rsidRDefault="00924329" w:rsidP="00B83FF6">
      <w:pPr>
        <w:suppressAutoHyphens/>
        <w:spacing w:line="360" w:lineRule="auto"/>
        <w:jc w:val="both"/>
        <w:rPr>
          <w:rFonts w:cs="Arial"/>
          <w:lang w:val="en-US"/>
        </w:rPr>
      </w:pPr>
    </w:p>
    <w:p w14:paraId="5957BB4C" w14:textId="15B92D0D" w:rsidR="00924329" w:rsidRPr="00286C29" w:rsidRDefault="00924329" w:rsidP="00B83FF6">
      <w:pPr>
        <w:suppressAutoHyphens/>
        <w:spacing w:line="360" w:lineRule="auto"/>
        <w:jc w:val="both"/>
        <w:rPr>
          <w:rFonts w:cs="Arial"/>
          <w:lang w:val="en-US"/>
        </w:rPr>
      </w:pPr>
    </w:p>
    <w:p w14:paraId="4C00B133" w14:textId="77777777" w:rsidR="00436AC8" w:rsidRDefault="00436AC8" w:rsidP="00B83FF6">
      <w:pPr>
        <w:suppressAutoHyphens/>
        <w:spacing w:line="360" w:lineRule="auto"/>
        <w:jc w:val="both"/>
        <w:rPr>
          <w:rFonts w:cs="Arial"/>
          <w:lang w:val="en-US"/>
        </w:rPr>
      </w:pPr>
    </w:p>
    <w:p w14:paraId="39DFCA08" w14:textId="77777777" w:rsidR="00C33F84" w:rsidRDefault="00C33F84" w:rsidP="00B83FF6">
      <w:pPr>
        <w:suppressAutoHyphens/>
        <w:spacing w:line="360" w:lineRule="auto"/>
        <w:jc w:val="both"/>
        <w:rPr>
          <w:lang w:val="en-US"/>
        </w:rPr>
      </w:pPr>
    </w:p>
    <w:p w14:paraId="2513F0CF" w14:textId="77777777" w:rsidR="00F60C39" w:rsidRDefault="00F60C39" w:rsidP="00B83FF6">
      <w:pPr>
        <w:suppressAutoHyphens/>
        <w:spacing w:line="360" w:lineRule="auto"/>
        <w:jc w:val="both"/>
        <w:rPr>
          <w:lang w:val="en-US"/>
        </w:rPr>
      </w:pPr>
    </w:p>
    <w:p w14:paraId="76BAD78A" w14:textId="77777777" w:rsidR="00A3284F" w:rsidRDefault="00A3284F" w:rsidP="00B83FF6">
      <w:pPr>
        <w:suppressAutoHyphens/>
        <w:spacing w:line="360" w:lineRule="auto"/>
        <w:jc w:val="both"/>
        <w:rPr>
          <w:lang w:val="en-US"/>
        </w:rPr>
      </w:pPr>
    </w:p>
    <w:p w14:paraId="2BE61B31" w14:textId="77777777" w:rsidR="00F60C39" w:rsidRDefault="00F60C39" w:rsidP="00B83FF6">
      <w:pPr>
        <w:suppressAutoHyphens/>
        <w:spacing w:line="360" w:lineRule="auto"/>
        <w:jc w:val="both"/>
        <w:rPr>
          <w:lang w:val="en-US"/>
        </w:rPr>
      </w:pPr>
    </w:p>
    <w:p w14:paraId="102CD0A3" w14:textId="77777777" w:rsidR="00F60C39" w:rsidRPr="00286C29" w:rsidRDefault="00F60C39" w:rsidP="00B83FF6">
      <w:pPr>
        <w:suppressAutoHyphens/>
        <w:spacing w:line="360" w:lineRule="auto"/>
        <w:jc w:val="both"/>
        <w:rPr>
          <w:lang w:val="en-US"/>
        </w:rPr>
      </w:pPr>
    </w:p>
    <w:p w14:paraId="519ADF99" w14:textId="77777777" w:rsidR="00436AC8" w:rsidRPr="00286C29" w:rsidRDefault="00436AC8" w:rsidP="00B83FF6">
      <w:pPr>
        <w:suppressAutoHyphens/>
        <w:spacing w:line="360" w:lineRule="auto"/>
        <w:jc w:val="both"/>
        <w:rPr>
          <w:lang w:val="en-US"/>
        </w:rPr>
      </w:pPr>
    </w:p>
    <w:p w14:paraId="54B02F65" w14:textId="77777777" w:rsidR="0000182F" w:rsidRPr="00286C29" w:rsidRDefault="0000182F" w:rsidP="00B83FF6">
      <w:pPr>
        <w:suppressAutoHyphens/>
        <w:jc w:val="both"/>
        <w:rPr>
          <w:lang w:val="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859"/>
        <w:gridCol w:w="4130"/>
        <w:gridCol w:w="1061"/>
        <w:gridCol w:w="1036"/>
      </w:tblGrid>
      <w:tr w:rsidR="0000182F" w:rsidRPr="00286C29" w14:paraId="365383E0" w14:textId="77777777" w:rsidTr="009338A7">
        <w:tc>
          <w:tcPr>
            <w:tcW w:w="859" w:type="dxa"/>
          </w:tcPr>
          <w:p w14:paraId="06170DBC" w14:textId="77777777" w:rsidR="0000182F" w:rsidRPr="00286C29" w:rsidRDefault="0000182F" w:rsidP="00B83FF6">
            <w:pPr>
              <w:suppressAutoHyphens/>
              <w:rPr>
                <w:sz w:val="18"/>
                <w:szCs w:val="18"/>
                <w:lang w:val="en-US"/>
              </w:rPr>
            </w:pPr>
            <w:r w:rsidRPr="00286C29">
              <w:rPr>
                <w:sz w:val="18"/>
                <w:szCs w:val="18"/>
                <w:lang w:val="en-US"/>
              </w:rPr>
              <w:t>Image/s:</w:t>
            </w:r>
          </w:p>
        </w:tc>
        <w:tc>
          <w:tcPr>
            <w:tcW w:w="4130" w:type="dxa"/>
          </w:tcPr>
          <w:p w14:paraId="3D76A92F" w14:textId="49C8310F" w:rsidR="0000182F" w:rsidRPr="00286C29" w:rsidRDefault="00286C29" w:rsidP="00B83FF6">
            <w:pPr>
              <w:suppressAutoHyphens/>
              <w:ind w:left="57"/>
              <w:rPr>
                <w:sz w:val="18"/>
                <w:szCs w:val="18"/>
                <w:lang w:val="en-US"/>
              </w:rPr>
            </w:pPr>
            <w:r w:rsidRPr="00286C29">
              <w:rPr>
                <w:sz w:val="18"/>
                <w:szCs w:val="18"/>
                <w:lang w:val="en-US"/>
              </w:rPr>
              <w:t>metraview-logo</w:t>
            </w:r>
          </w:p>
        </w:tc>
        <w:tc>
          <w:tcPr>
            <w:tcW w:w="1061" w:type="dxa"/>
          </w:tcPr>
          <w:p w14:paraId="0C453948" w14:textId="77777777" w:rsidR="0000182F" w:rsidRPr="00286C29" w:rsidRDefault="0000182F" w:rsidP="00B83FF6">
            <w:pPr>
              <w:suppressAutoHyphens/>
              <w:rPr>
                <w:sz w:val="18"/>
                <w:szCs w:val="18"/>
                <w:lang w:val="en-US"/>
              </w:rPr>
            </w:pPr>
            <w:r w:rsidRPr="00286C29">
              <w:rPr>
                <w:sz w:val="18"/>
                <w:szCs w:val="18"/>
                <w:lang w:val="en-US"/>
              </w:rPr>
              <w:t>Characters:</w:t>
            </w:r>
          </w:p>
        </w:tc>
        <w:tc>
          <w:tcPr>
            <w:tcW w:w="1036" w:type="dxa"/>
          </w:tcPr>
          <w:p w14:paraId="56B34464" w14:textId="5AAA3927" w:rsidR="0000182F" w:rsidRPr="00286C29" w:rsidRDefault="00A3284F" w:rsidP="00B83FF6">
            <w:pPr>
              <w:suppressAutoHyphens/>
              <w:jc w:val="right"/>
              <w:rPr>
                <w:sz w:val="18"/>
                <w:szCs w:val="18"/>
                <w:lang w:val="en-US"/>
              </w:rPr>
            </w:pPr>
            <w:r>
              <w:rPr>
                <w:sz w:val="18"/>
                <w:szCs w:val="18"/>
                <w:lang w:val="en-US"/>
              </w:rPr>
              <w:t>2102</w:t>
            </w:r>
          </w:p>
        </w:tc>
      </w:tr>
      <w:tr w:rsidR="0000182F" w:rsidRPr="00286C29" w14:paraId="14D67EC0" w14:textId="77777777" w:rsidTr="009338A7">
        <w:tc>
          <w:tcPr>
            <w:tcW w:w="859" w:type="dxa"/>
          </w:tcPr>
          <w:p w14:paraId="3CF6F028" w14:textId="77777777" w:rsidR="0000182F" w:rsidRPr="00286C29" w:rsidRDefault="0000182F" w:rsidP="00B83FF6">
            <w:pPr>
              <w:suppressAutoHyphens/>
              <w:spacing w:before="120"/>
              <w:rPr>
                <w:sz w:val="18"/>
                <w:szCs w:val="18"/>
                <w:lang w:val="en-US"/>
              </w:rPr>
            </w:pPr>
            <w:r w:rsidRPr="00286C29">
              <w:rPr>
                <w:sz w:val="18"/>
                <w:szCs w:val="18"/>
                <w:lang w:val="en-US"/>
              </w:rPr>
              <w:t>File name:</w:t>
            </w:r>
          </w:p>
        </w:tc>
        <w:tc>
          <w:tcPr>
            <w:tcW w:w="4130" w:type="dxa"/>
          </w:tcPr>
          <w:p w14:paraId="686808D1" w14:textId="0A936040" w:rsidR="0000182F" w:rsidRPr="00286C29" w:rsidRDefault="00D1620A" w:rsidP="00B83FF6">
            <w:pPr>
              <w:suppressAutoHyphens/>
              <w:spacing w:before="120"/>
              <w:ind w:left="57"/>
              <w:rPr>
                <w:sz w:val="18"/>
                <w:szCs w:val="18"/>
                <w:lang w:val="en-US"/>
              </w:rPr>
            </w:pPr>
            <w:r w:rsidRPr="00D1620A">
              <w:rPr>
                <w:sz w:val="18"/>
                <w:szCs w:val="18"/>
                <w:lang w:val="en-US"/>
              </w:rPr>
              <w:t>202403006_pm_metraview_en</w:t>
            </w:r>
          </w:p>
        </w:tc>
        <w:tc>
          <w:tcPr>
            <w:tcW w:w="1061" w:type="dxa"/>
          </w:tcPr>
          <w:p w14:paraId="7A273568" w14:textId="77777777" w:rsidR="0000182F" w:rsidRPr="00286C29" w:rsidRDefault="0000182F" w:rsidP="00B83FF6">
            <w:pPr>
              <w:suppressAutoHyphens/>
              <w:spacing w:before="120"/>
              <w:rPr>
                <w:sz w:val="18"/>
                <w:szCs w:val="18"/>
                <w:lang w:val="en-US"/>
              </w:rPr>
            </w:pPr>
            <w:r w:rsidRPr="00286C29">
              <w:rPr>
                <w:sz w:val="18"/>
                <w:szCs w:val="18"/>
                <w:lang w:val="en-US"/>
              </w:rPr>
              <w:t>Date:</w:t>
            </w:r>
          </w:p>
        </w:tc>
        <w:tc>
          <w:tcPr>
            <w:tcW w:w="1036" w:type="dxa"/>
          </w:tcPr>
          <w:p w14:paraId="4D38BDCF" w14:textId="5F65ED5E" w:rsidR="0000182F" w:rsidRPr="00286C29" w:rsidRDefault="001B23F1" w:rsidP="00B83FF6">
            <w:pPr>
              <w:suppressAutoHyphens/>
              <w:spacing w:before="120"/>
              <w:jc w:val="right"/>
              <w:rPr>
                <w:sz w:val="18"/>
                <w:szCs w:val="18"/>
                <w:lang w:val="en-US"/>
              </w:rPr>
            </w:pPr>
            <w:r>
              <w:rPr>
                <w:sz w:val="18"/>
                <w:szCs w:val="18"/>
                <w:lang w:val="en-US"/>
              </w:rPr>
              <w:t>02-27-2024</w:t>
            </w:r>
          </w:p>
        </w:tc>
      </w:tr>
      <w:tr w:rsidR="0000182F" w:rsidRPr="00A3284F" w14:paraId="348D131C" w14:textId="77777777" w:rsidTr="009338A7">
        <w:tc>
          <w:tcPr>
            <w:tcW w:w="7086" w:type="dxa"/>
            <w:gridSpan w:val="4"/>
            <w:tcBorders>
              <w:bottom w:val="single" w:sz="4" w:space="0" w:color="auto"/>
            </w:tcBorders>
          </w:tcPr>
          <w:p w14:paraId="03C94958" w14:textId="16EAD341" w:rsidR="0000182F" w:rsidRPr="00286C29" w:rsidRDefault="0000182F" w:rsidP="00B83FF6">
            <w:pPr>
              <w:suppressAutoHyphens/>
              <w:spacing w:before="120" w:after="120"/>
              <w:rPr>
                <w:b/>
                <w:sz w:val="16"/>
                <w:lang w:val="en-US"/>
              </w:rPr>
            </w:pPr>
            <w:r w:rsidRPr="00286C29">
              <w:rPr>
                <w:b/>
                <w:sz w:val="16"/>
                <w:lang w:val="en-US"/>
              </w:rPr>
              <w:t xml:space="preserve">About </w:t>
            </w:r>
            <w:r w:rsidRPr="00286C29">
              <w:rPr>
                <w:rFonts w:cs="Arial"/>
                <w:b/>
                <w:sz w:val="16"/>
                <w:lang w:val="en-US"/>
              </w:rPr>
              <w:t>Gossen Metrawatt</w:t>
            </w:r>
          </w:p>
          <w:p w14:paraId="1F872E4D" w14:textId="77777777" w:rsidR="0000182F" w:rsidRPr="00286C29" w:rsidRDefault="0000182F" w:rsidP="00B83FF6">
            <w:pPr>
              <w:suppressAutoHyphens/>
              <w:spacing w:after="120"/>
              <w:jc w:val="both"/>
              <w:rPr>
                <w:sz w:val="16"/>
                <w:lang w:val="en-US"/>
              </w:rPr>
            </w:pPr>
            <w:r w:rsidRPr="00286C29">
              <w:rPr>
                <w:sz w:val="16"/>
                <w:lang w:val="en-US"/>
              </w:rPr>
              <w:t>Gossen Metrawatt, one of the world’s leading suppliers of measurement systems, develops and distributes a wide range of high-quality measuring and test devices for electrical trade, various industries and the public sector.</w:t>
            </w:r>
          </w:p>
          <w:p w14:paraId="250E39C3" w14:textId="77777777" w:rsidR="0000182F" w:rsidRPr="00286C29" w:rsidRDefault="0000182F" w:rsidP="00B83FF6">
            <w:pPr>
              <w:suppressAutoHyphens/>
              <w:spacing w:after="120"/>
              <w:jc w:val="both"/>
              <w:rPr>
                <w:sz w:val="16"/>
                <w:lang w:val="en-US"/>
              </w:rPr>
            </w:pPr>
            <w:r w:rsidRPr="00286C29">
              <w:rPr>
                <w:sz w:val="16"/>
                <w:lang w:val="en-US"/>
              </w:rPr>
              <w:t>The Gossen Metrawatt brand has been synonymous with safety and quality “Made in Germany” for decades. Its product range includes measurement and test technology for the electrical safety of plants, devices and machines as well as for the e-mobility and medical technology industries. Additional key areas of interest are power quality, battery testing technology, multimeters, calibrators, power supply technology and energy management systems. For a truly comprehensive electrical safety portfolio, Gossen Metrawatt also offers a continuously growing range of digital services and cloud services and supports its customers with a versatile training program and a wide range of after-sales services.</w:t>
            </w:r>
          </w:p>
          <w:p w14:paraId="57ECDAA7" w14:textId="2DCAAC68" w:rsidR="0000182F" w:rsidRPr="00286C29" w:rsidRDefault="0000182F" w:rsidP="00B83FF6">
            <w:pPr>
              <w:suppressAutoHyphens/>
              <w:spacing w:after="120"/>
              <w:jc w:val="both"/>
              <w:rPr>
                <w:lang w:val="en-US"/>
              </w:rPr>
            </w:pPr>
            <w:r w:rsidRPr="00286C29">
              <w:rPr>
                <w:sz w:val="16"/>
                <w:lang w:val="en-US"/>
              </w:rPr>
              <w:t>Gossen Metrawatt is part of the GMC Instruments Group, which also includes other specialized manufacturers for measurement and testing technology – notably, Camille Bauer Metrawatt, Dranetz, Prosys, Seaward and Rigel and Kurth Electronic. The Camille Bauer and Rigel brands add to the portfolio various transducers, display instruments and detection systems for heavy-current engineering as well as special measuring, testing and functional testing devices for the medical sector. The GMC-I Group runs its own DAkkS-certified calibration center that performs DAkkS, ISO and factory calibrations for virtually all electrical measured quantities. The GMC-I Group has development and production sites in Germany, Switzerland, England and the USA and a worldwide sales network of its own companies as well as sales partners</w:t>
            </w:r>
            <w:r w:rsidRPr="00286C29">
              <w:rPr>
                <w:sz w:val="16"/>
                <w:szCs w:val="16"/>
                <w:lang w:val="en-US"/>
              </w:rPr>
              <w:t>.</w:t>
            </w:r>
          </w:p>
        </w:tc>
      </w:tr>
      <w:tr w:rsidR="0000182F" w:rsidRPr="00286C29" w14:paraId="0E1E9499" w14:textId="77777777" w:rsidTr="009338A7">
        <w:tc>
          <w:tcPr>
            <w:tcW w:w="4989" w:type="dxa"/>
            <w:gridSpan w:val="2"/>
            <w:tcBorders>
              <w:top w:val="single" w:sz="4" w:space="0" w:color="auto"/>
            </w:tcBorders>
          </w:tcPr>
          <w:p w14:paraId="2322D5DE" w14:textId="77777777" w:rsidR="0000182F" w:rsidRPr="00286C29" w:rsidRDefault="0000182F" w:rsidP="00B83FF6">
            <w:pPr>
              <w:suppressAutoHyphens/>
              <w:spacing w:before="120" w:after="120"/>
              <w:rPr>
                <w:b/>
                <w:lang w:val="en-US"/>
              </w:rPr>
            </w:pPr>
            <w:r w:rsidRPr="00286C29">
              <w:rPr>
                <w:b/>
                <w:lang w:val="en-US"/>
              </w:rPr>
              <w:t>Contact:</w:t>
            </w:r>
          </w:p>
          <w:p w14:paraId="0A735E13" w14:textId="20C8B165" w:rsidR="0000182F" w:rsidRPr="00286C29" w:rsidRDefault="0000182F" w:rsidP="00B83FF6">
            <w:pPr>
              <w:suppressAutoHyphens/>
              <w:rPr>
                <w:b/>
                <w:bCs/>
                <w:lang w:val="en-US"/>
              </w:rPr>
            </w:pPr>
            <w:r w:rsidRPr="00286C29">
              <w:rPr>
                <w:rFonts w:cs="Arial"/>
                <w:b/>
                <w:bCs/>
                <w:lang w:val="en-US"/>
              </w:rPr>
              <w:t xml:space="preserve">Gossen Metrawatt </w:t>
            </w:r>
            <w:r w:rsidRPr="00286C29">
              <w:rPr>
                <w:b/>
                <w:bCs/>
                <w:lang w:val="en-US"/>
              </w:rPr>
              <w:t>GmbH</w:t>
            </w:r>
          </w:p>
          <w:p w14:paraId="06ECA9C4" w14:textId="3C53933B" w:rsidR="0000182F" w:rsidRPr="00286C29" w:rsidRDefault="0000182F" w:rsidP="00B83FF6">
            <w:pPr>
              <w:suppressAutoHyphens/>
              <w:spacing w:before="120" w:after="120"/>
              <w:rPr>
                <w:lang w:val="en-US"/>
              </w:rPr>
            </w:pPr>
            <w:r w:rsidRPr="00286C29">
              <w:rPr>
                <w:lang w:val="en-US"/>
              </w:rPr>
              <w:t>Christian Widder</w:t>
            </w:r>
            <w:r w:rsidRPr="00286C29">
              <w:rPr>
                <w:lang w:val="en-US"/>
              </w:rPr>
              <w:br/>
              <w:t>Head of Marketing Communication</w:t>
            </w:r>
          </w:p>
          <w:p w14:paraId="403973C8" w14:textId="478E42DB" w:rsidR="0000182F" w:rsidRPr="00286C29" w:rsidRDefault="0000182F" w:rsidP="00B83FF6">
            <w:pPr>
              <w:suppressAutoHyphens/>
              <w:rPr>
                <w:lang w:val="en-US"/>
              </w:rPr>
            </w:pPr>
            <w:r w:rsidRPr="00286C29">
              <w:rPr>
                <w:rFonts w:cs="Arial"/>
                <w:lang w:val="en-US"/>
              </w:rPr>
              <w:t>Suedwestpark 15</w:t>
            </w:r>
          </w:p>
          <w:p w14:paraId="771BA69B" w14:textId="70BA2371" w:rsidR="0000182F" w:rsidRPr="00286C29" w:rsidRDefault="0000182F" w:rsidP="00B83FF6">
            <w:pPr>
              <w:suppressAutoHyphens/>
              <w:rPr>
                <w:lang w:val="en-US"/>
              </w:rPr>
            </w:pPr>
            <w:r w:rsidRPr="00286C29">
              <w:rPr>
                <w:rFonts w:cs="Arial"/>
                <w:lang w:val="en-US"/>
              </w:rPr>
              <w:t>90449 Nuremberg</w:t>
            </w:r>
          </w:p>
          <w:p w14:paraId="7AD3782C" w14:textId="77777777" w:rsidR="0000182F" w:rsidRPr="00286C29" w:rsidRDefault="0000182F" w:rsidP="00B83FF6">
            <w:pPr>
              <w:suppressAutoHyphens/>
              <w:rPr>
                <w:lang w:val="en-US"/>
              </w:rPr>
            </w:pPr>
            <w:r w:rsidRPr="00286C29">
              <w:rPr>
                <w:lang w:val="en-US"/>
              </w:rPr>
              <w:t>Germany</w:t>
            </w:r>
          </w:p>
          <w:p w14:paraId="1DB63788" w14:textId="5EC27518" w:rsidR="0000182F" w:rsidRPr="00286C29" w:rsidRDefault="0000182F" w:rsidP="00B83FF6">
            <w:pPr>
              <w:suppressAutoHyphens/>
              <w:spacing w:before="120"/>
              <w:rPr>
                <w:lang w:val="en-US"/>
              </w:rPr>
            </w:pPr>
            <w:r w:rsidRPr="00286C29">
              <w:rPr>
                <w:lang w:val="en-US"/>
              </w:rPr>
              <w:t>Phone: +49 . 911 . 8602-572</w:t>
            </w:r>
          </w:p>
          <w:p w14:paraId="727D2682" w14:textId="3ED76EA2" w:rsidR="0000182F" w:rsidRPr="00286C29" w:rsidRDefault="0000182F" w:rsidP="00B83FF6">
            <w:pPr>
              <w:suppressAutoHyphens/>
              <w:rPr>
                <w:lang w:val="en-US"/>
              </w:rPr>
            </w:pPr>
            <w:r w:rsidRPr="00286C29">
              <w:rPr>
                <w:lang w:val="en-US"/>
              </w:rPr>
              <w:t>Email: christian.widder@gossenmetrawatt.com</w:t>
            </w:r>
          </w:p>
          <w:p w14:paraId="463B3BB8" w14:textId="0B06B24D" w:rsidR="0000182F" w:rsidRPr="00286C29" w:rsidRDefault="0000182F" w:rsidP="00B83FF6">
            <w:pPr>
              <w:suppressAutoHyphens/>
              <w:rPr>
                <w:lang w:val="en-US"/>
              </w:rPr>
            </w:pPr>
            <w:r w:rsidRPr="00286C29">
              <w:rPr>
                <w:lang w:val="en-US"/>
              </w:rPr>
              <w:t>Internet: www.gossenmetrawatt.com</w:t>
            </w:r>
          </w:p>
        </w:tc>
        <w:tc>
          <w:tcPr>
            <w:tcW w:w="2097" w:type="dxa"/>
            <w:gridSpan w:val="2"/>
            <w:tcBorders>
              <w:top w:val="single" w:sz="4" w:space="0" w:color="auto"/>
            </w:tcBorders>
          </w:tcPr>
          <w:p w14:paraId="696ECA4C" w14:textId="77777777" w:rsidR="0000182F" w:rsidRPr="00D1620A" w:rsidRDefault="0000182F" w:rsidP="00B83FF6">
            <w:pPr>
              <w:suppressAutoHyphens/>
              <w:spacing w:before="480"/>
              <w:rPr>
                <w:sz w:val="16"/>
                <w:szCs w:val="16"/>
              </w:rPr>
            </w:pPr>
            <w:r w:rsidRPr="00D1620A">
              <w:rPr>
                <w:sz w:val="16"/>
                <w:szCs w:val="16"/>
              </w:rPr>
              <w:t>gii die Presse-Agentur GmbH</w:t>
            </w:r>
          </w:p>
          <w:p w14:paraId="5A53B840" w14:textId="77777777" w:rsidR="0000182F" w:rsidRPr="00286C29" w:rsidRDefault="0000182F" w:rsidP="00B83FF6">
            <w:pPr>
              <w:suppressAutoHyphens/>
              <w:rPr>
                <w:sz w:val="16"/>
                <w:szCs w:val="16"/>
                <w:lang w:val="en-US"/>
              </w:rPr>
            </w:pPr>
            <w:r w:rsidRPr="00D1620A">
              <w:rPr>
                <w:sz w:val="16"/>
                <w:szCs w:val="16"/>
              </w:rPr>
              <w:t xml:space="preserve">Immanuelkirchstr. </w:t>
            </w:r>
            <w:r w:rsidRPr="00286C29">
              <w:rPr>
                <w:sz w:val="16"/>
                <w:szCs w:val="16"/>
                <w:lang w:val="en-US"/>
              </w:rPr>
              <w:t>12</w:t>
            </w:r>
          </w:p>
          <w:p w14:paraId="58D045A4" w14:textId="77777777" w:rsidR="0000182F" w:rsidRPr="00286C29" w:rsidRDefault="0000182F" w:rsidP="00B83FF6">
            <w:pPr>
              <w:suppressAutoHyphens/>
              <w:rPr>
                <w:sz w:val="16"/>
                <w:szCs w:val="16"/>
                <w:lang w:val="en-US"/>
              </w:rPr>
            </w:pPr>
            <w:r w:rsidRPr="00286C29">
              <w:rPr>
                <w:sz w:val="16"/>
                <w:szCs w:val="16"/>
                <w:lang w:val="en-US"/>
              </w:rPr>
              <w:t>10405 Berlin</w:t>
            </w:r>
          </w:p>
          <w:p w14:paraId="490C8EFA" w14:textId="77777777" w:rsidR="0000182F" w:rsidRPr="00286C29" w:rsidRDefault="0000182F" w:rsidP="00B83FF6">
            <w:pPr>
              <w:suppressAutoHyphens/>
              <w:rPr>
                <w:sz w:val="16"/>
                <w:szCs w:val="16"/>
                <w:lang w:val="en-US"/>
              </w:rPr>
            </w:pPr>
            <w:r w:rsidRPr="00286C29">
              <w:rPr>
                <w:sz w:val="16"/>
                <w:szCs w:val="16"/>
                <w:lang w:val="en-US"/>
              </w:rPr>
              <w:t>Germany</w:t>
            </w:r>
          </w:p>
          <w:p w14:paraId="01D5E3F7" w14:textId="53E57869" w:rsidR="0000182F" w:rsidRPr="00286C29" w:rsidRDefault="0000182F" w:rsidP="00B83FF6">
            <w:pPr>
              <w:suppressAutoHyphens/>
              <w:rPr>
                <w:sz w:val="16"/>
                <w:szCs w:val="16"/>
                <w:lang w:val="en-US"/>
              </w:rPr>
            </w:pPr>
            <w:r w:rsidRPr="00286C29">
              <w:rPr>
                <w:sz w:val="16"/>
                <w:szCs w:val="16"/>
                <w:lang w:val="en-US"/>
              </w:rPr>
              <w:t xml:space="preserve">Tel.: +49 . 30 . </w:t>
            </w:r>
            <w:r w:rsidRPr="00286C29">
              <w:rPr>
                <w:sz w:val="16"/>
                <w:lang w:val="en-US"/>
              </w:rPr>
              <w:t>538 9650</w:t>
            </w:r>
          </w:p>
          <w:p w14:paraId="059737BA" w14:textId="77777777" w:rsidR="0000182F" w:rsidRPr="00286C29" w:rsidRDefault="0000182F" w:rsidP="00B83FF6">
            <w:pPr>
              <w:suppressAutoHyphens/>
              <w:rPr>
                <w:sz w:val="16"/>
                <w:szCs w:val="16"/>
                <w:lang w:val="en-US"/>
              </w:rPr>
            </w:pPr>
            <w:r w:rsidRPr="00286C29">
              <w:rPr>
                <w:sz w:val="16"/>
                <w:szCs w:val="16"/>
                <w:lang w:val="en-US"/>
              </w:rPr>
              <w:t>Email: info@gii.de</w:t>
            </w:r>
          </w:p>
          <w:p w14:paraId="15418882" w14:textId="77777777" w:rsidR="0000182F" w:rsidRPr="00286C29" w:rsidRDefault="0000182F" w:rsidP="00B83FF6">
            <w:pPr>
              <w:suppressAutoHyphens/>
              <w:rPr>
                <w:sz w:val="16"/>
                <w:szCs w:val="16"/>
                <w:lang w:val="en-US"/>
              </w:rPr>
            </w:pPr>
            <w:r w:rsidRPr="00286C29">
              <w:rPr>
                <w:sz w:val="16"/>
                <w:szCs w:val="16"/>
                <w:lang w:val="en-US"/>
              </w:rPr>
              <w:t>Internet: www.gii.de</w:t>
            </w:r>
          </w:p>
        </w:tc>
      </w:tr>
    </w:tbl>
    <w:p w14:paraId="463770B6" w14:textId="77777777" w:rsidR="0000182F" w:rsidRPr="00286C29" w:rsidRDefault="0000182F" w:rsidP="00B83FF6">
      <w:pPr>
        <w:suppressAutoHyphens/>
        <w:rPr>
          <w:lang w:val="en-US"/>
        </w:rPr>
      </w:pPr>
    </w:p>
    <w:sectPr w:rsidR="0000182F" w:rsidRPr="00286C29" w:rsidSect="0042518B">
      <w:headerReference w:type="default" r:id="rId8"/>
      <w:footerReference w:type="default" r:id="rId9"/>
      <w:headerReference w:type="first" r:id="rId10"/>
      <w:footerReference w:type="first" r:id="rId11"/>
      <w:type w:val="continuous"/>
      <w:pgSz w:w="11906" w:h="16838" w:code="9"/>
      <w:pgMar w:top="1701" w:right="2835" w:bottom="851" w:left="1985" w:header="720" w:footer="720"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3F075" w14:textId="77777777" w:rsidR="0042518B" w:rsidRDefault="0042518B">
      <w:r>
        <w:separator/>
      </w:r>
    </w:p>
  </w:endnote>
  <w:endnote w:type="continuationSeparator" w:id="0">
    <w:p w14:paraId="69F17768" w14:textId="77777777" w:rsidR="0042518B" w:rsidRDefault="00425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FuturaA Bk BT">
    <w:altName w:val="Tahoma"/>
    <w:charset w:val="01"/>
    <w:family w:val="swiss"/>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5ECEC" w14:textId="77777777" w:rsidR="00D335AA" w:rsidRDefault="00D335AA">
    <w:pPr>
      <w:pStyle w:val="Fuzeile"/>
      <w:tabs>
        <w:tab w:val="clear" w:pos="4536"/>
        <w:tab w:val="clear" w:pos="9072"/>
      </w:tabs>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A7EEE" w14:textId="77777777" w:rsidR="00D335AA" w:rsidRDefault="00D335AA">
    <w:pPr>
      <w:pStyle w:val="Fuzeile"/>
      <w:tabs>
        <w:tab w:val="clear" w:pos="4536"/>
        <w:tab w:val="clear" w:pos="9072"/>
      </w:tabs>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8031A" w14:textId="77777777" w:rsidR="0042518B" w:rsidRDefault="0042518B">
      <w:r>
        <w:separator/>
      </w:r>
    </w:p>
  </w:footnote>
  <w:footnote w:type="continuationSeparator" w:id="0">
    <w:p w14:paraId="2138CAFC" w14:textId="77777777" w:rsidR="0042518B" w:rsidRDefault="004251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29F2E" w14:textId="584073C5" w:rsidR="00D335AA" w:rsidRPr="00436AC8" w:rsidRDefault="00582178" w:rsidP="00D335AA">
    <w:pPr>
      <w:pStyle w:val="Kopfzeile"/>
      <w:tabs>
        <w:tab w:val="clear" w:pos="4536"/>
        <w:tab w:val="clear" w:pos="9072"/>
      </w:tabs>
      <w:suppressAutoHyphens/>
      <w:ind w:left="709" w:hanging="709"/>
      <w:rPr>
        <w:rStyle w:val="Seitenzahl"/>
        <w:sz w:val="18"/>
        <w:szCs w:val="18"/>
        <w:lang w:val="en-US"/>
      </w:rPr>
    </w:pPr>
    <w:r>
      <w:rPr>
        <w:noProof/>
        <w:sz w:val="18"/>
        <w:lang w:val="en-US"/>
      </w:rPr>
      <w:drawing>
        <wp:anchor distT="0" distB="0" distL="0" distR="0" simplePos="0" relativeHeight="251657216" behindDoc="0" locked="0" layoutInCell="1" allowOverlap="1" wp14:anchorId="599231AE" wp14:editId="76FC171A">
          <wp:simplePos x="0" y="0"/>
          <wp:positionH relativeFrom="column">
            <wp:posOffset>3421380</wp:posOffset>
          </wp:positionH>
          <wp:positionV relativeFrom="paragraph">
            <wp:posOffset>-122555</wp:posOffset>
          </wp:positionV>
          <wp:extent cx="2419985" cy="417195"/>
          <wp:effectExtent l="0" t="0" r="0" b="0"/>
          <wp:wrapSquare wrapText="larges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985" cy="417195"/>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r w:rsidR="00D335AA">
      <w:rPr>
        <w:sz w:val="18"/>
        <w:lang w:val="en-US"/>
      </w:rPr>
      <w:t xml:space="preserve">Page </w:t>
    </w:r>
    <w:r w:rsidR="00D335AA">
      <w:rPr>
        <w:rStyle w:val="Seitenzahl"/>
        <w:sz w:val="18"/>
      </w:rPr>
      <w:fldChar w:fldCharType="begin"/>
    </w:r>
    <w:r w:rsidR="00D335AA" w:rsidRPr="00436AC8">
      <w:rPr>
        <w:rStyle w:val="Seitenzahl"/>
        <w:sz w:val="18"/>
        <w:lang w:val="en-US"/>
      </w:rPr>
      <w:instrText xml:space="preserve"> PAGE </w:instrText>
    </w:r>
    <w:r w:rsidR="00D335AA">
      <w:rPr>
        <w:rStyle w:val="Seitenzahl"/>
        <w:sz w:val="18"/>
      </w:rPr>
      <w:fldChar w:fldCharType="separate"/>
    </w:r>
    <w:r w:rsidR="005A5EC8">
      <w:rPr>
        <w:rStyle w:val="Seitenzahl"/>
        <w:noProof/>
        <w:sz w:val="18"/>
        <w:lang w:val="en-US"/>
      </w:rPr>
      <w:t>2</w:t>
    </w:r>
    <w:r w:rsidR="00D335AA">
      <w:rPr>
        <w:rStyle w:val="Seitenzahl"/>
        <w:sz w:val="18"/>
      </w:rPr>
      <w:fldChar w:fldCharType="end"/>
    </w:r>
    <w:r w:rsidR="00D335AA">
      <w:rPr>
        <w:rStyle w:val="Seitenzahl"/>
        <w:sz w:val="18"/>
        <w:szCs w:val="18"/>
        <w:lang w:val="en-US"/>
      </w:rPr>
      <w:t>:</w:t>
    </w:r>
    <w:r w:rsidR="00D335AA">
      <w:rPr>
        <w:rStyle w:val="Seitenzahl"/>
        <w:sz w:val="18"/>
        <w:szCs w:val="18"/>
        <w:lang w:val="en-US"/>
      </w:rPr>
      <w:tab/>
    </w:r>
    <w:r w:rsidR="00286C29" w:rsidRPr="00286C29">
      <w:rPr>
        <w:rStyle w:val="Seitenzahl"/>
        <w:sz w:val="18"/>
        <w:szCs w:val="18"/>
        <w:lang w:val="en-US"/>
      </w:rPr>
      <w:t>METRAVIEW energy data management platform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D2004" w14:textId="6F28A034" w:rsidR="00D335AA" w:rsidRDefault="00582178">
    <w:pPr>
      <w:pStyle w:val="Kopfzeile"/>
      <w:tabs>
        <w:tab w:val="clear" w:pos="4536"/>
        <w:tab w:val="clear" w:pos="9072"/>
      </w:tabs>
      <w:rPr>
        <w:sz w:val="2"/>
      </w:rPr>
    </w:pPr>
    <w:r>
      <w:rPr>
        <w:noProof/>
        <w:sz w:val="2"/>
      </w:rPr>
      <w:drawing>
        <wp:anchor distT="0" distB="0" distL="0" distR="0" simplePos="0" relativeHeight="251658240" behindDoc="0" locked="0" layoutInCell="1" allowOverlap="1" wp14:anchorId="5888B494" wp14:editId="29A30CA3">
          <wp:simplePos x="0" y="0"/>
          <wp:positionH relativeFrom="column">
            <wp:posOffset>3408045</wp:posOffset>
          </wp:positionH>
          <wp:positionV relativeFrom="paragraph">
            <wp:posOffset>-113030</wp:posOffset>
          </wp:positionV>
          <wp:extent cx="2419985" cy="417195"/>
          <wp:effectExtent l="0" t="0" r="0" b="0"/>
          <wp:wrapSquare wrapText="larges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985" cy="417195"/>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319D14D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573C6BC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6F5D1704"/>
    <w:multiLevelType w:val="singleLevel"/>
    <w:tmpl w:val="3E64FE76"/>
    <w:lvl w:ilvl="0">
      <w:start w:val="1"/>
      <w:numFmt w:val="decimal"/>
      <w:lvlText w:val="%1."/>
      <w:lvlJc w:val="left"/>
      <w:pPr>
        <w:tabs>
          <w:tab w:val="num" w:pos="705"/>
        </w:tabs>
        <w:ind w:left="705" w:hanging="705"/>
      </w:pPr>
      <w:rPr>
        <w:rFonts w:hint="default"/>
      </w:rPr>
    </w:lvl>
  </w:abstractNum>
  <w:num w:numId="1" w16cid:durableId="497037708">
    <w:abstractNumId w:val="0"/>
  </w:num>
  <w:num w:numId="2" w16cid:durableId="1342316469">
    <w:abstractNumId w:val="3"/>
  </w:num>
  <w:num w:numId="3" w16cid:durableId="344869692">
    <w:abstractNumId w:val="2"/>
  </w:num>
  <w:num w:numId="4" w16cid:durableId="800270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262"/>
    <w:rsid w:val="0000182F"/>
    <w:rsid w:val="00142FBC"/>
    <w:rsid w:val="001B23F1"/>
    <w:rsid w:val="002766C3"/>
    <w:rsid w:val="00286C29"/>
    <w:rsid w:val="002B52B7"/>
    <w:rsid w:val="002D6674"/>
    <w:rsid w:val="003C2D7A"/>
    <w:rsid w:val="00402D1E"/>
    <w:rsid w:val="0042518B"/>
    <w:rsid w:val="00436AC8"/>
    <w:rsid w:val="004D0C8F"/>
    <w:rsid w:val="004E71B6"/>
    <w:rsid w:val="00512DDC"/>
    <w:rsid w:val="00582178"/>
    <w:rsid w:val="005A5EC8"/>
    <w:rsid w:val="005B172E"/>
    <w:rsid w:val="005D6158"/>
    <w:rsid w:val="00667BBC"/>
    <w:rsid w:val="0079797E"/>
    <w:rsid w:val="00853C7F"/>
    <w:rsid w:val="00855DB9"/>
    <w:rsid w:val="00924329"/>
    <w:rsid w:val="00982FFE"/>
    <w:rsid w:val="00A3284F"/>
    <w:rsid w:val="00AE79A2"/>
    <w:rsid w:val="00B83FF6"/>
    <w:rsid w:val="00B923C5"/>
    <w:rsid w:val="00BC2D41"/>
    <w:rsid w:val="00BC4E29"/>
    <w:rsid w:val="00C33F84"/>
    <w:rsid w:val="00C63792"/>
    <w:rsid w:val="00CA22DB"/>
    <w:rsid w:val="00D1620A"/>
    <w:rsid w:val="00D335AA"/>
    <w:rsid w:val="00D858D8"/>
    <w:rsid w:val="00DA4477"/>
    <w:rsid w:val="00DB5489"/>
    <w:rsid w:val="00E4283A"/>
    <w:rsid w:val="00EC02B3"/>
    <w:rsid w:val="00F34098"/>
    <w:rsid w:val="00F60C39"/>
    <w:rsid w:val="00FB2262"/>
  </w:rsids>
  <m:mathPr>
    <m:mathFont m:val="Cambria Math"/>
    <m:brkBin m:val="before"/>
    <m:brkBinSub m:val="--"/>
    <m:smallFrac m:val="0"/>
    <m:dispDef/>
    <m:lMargin m:val="0"/>
    <m:rMargin m:val="0"/>
    <m:defJc m:val="centerGroup"/>
    <m:wrapRight/>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29080F"/>
  <w15:chartTrackingRefBased/>
  <w15:docId w15:val="{700F0642-EEE5-48C9-81E7-92D5F1699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37A6C"/>
    <w:rPr>
      <w:rFonts w:ascii="Arial" w:hAnsi="Arial"/>
    </w:rPr>
  </w:style>
  <w:style w:type="paragraph" w:styleId="berschrift1">
    <w:name w:val="heading 1"/>
    <w:basedOn w:val="Standard"/>
    <w:next w:val="Standard"/>
    <w:qFormat/>
    <w:pPr>
      <w:keepNext/>
      <w:outlineLvl w:val="0"/>
    </w:pPr>
    <w:rPr>
      <w:b/>
      <w:sz w:val="32"/>
    </w:rPr>
  </w:style>
  <w:style w:type="paragraph" w:styleId="berschrift2">
    <w:name w:val="heading 2"/>
    <w:basedOn w:val="Standard"/>
    <w:next w:val="Standard"/>
    <w:qFormat/>
    <w:pPr>
      <w:keepNext/>
      <w:ind w:right="1699"/>
      <w:jc w:val="both"/>
      <w:outlineLvl w:val="1"/>
    </w:pPr>
    <w:rPr>
      <w:b/>
      <w:sz w:val="32"/>
    </w:rPr>
  </w:style>
  <w:style w:type="paragraph" w:styleId="berschrift3">
    <w:name w:val="heading 3"/>
    <w:basedOn w:val="Standard"/>
    <w:next w:val="Standard"/>
    <w:qFormat/>
    <w:pPr>
      <w:keepNext/>
      <w:outlineLvl w:val="2"/>
    </w:pPr>
    <w:rPr>
      <w:sz w:val="24"/>
    </w:rPr>
  </w:style>
  <w:style w:type="paragraph" w:styleId="berschrift4">
    <w:name w:val="heading 4"/>
    <w:basedOn w:val="Standard"/>
    <w:next w:val="Standard"/>
    <w:qFormat/>
    <w:pPr>
      <w:keepNext/>
      <w:outlineLvl w:val="3"/>
    </w:pPr>
    <w:rPr>
      <w:b/>
      <w:sz w:val="24"/>
    </w:rPr>
  </w:style>
  <w:style w:type="paragraph" w:styleId="berschrift5">
    <w:name w:val="heading 5"/>
    <w:basedOn w:val="berschrift4"/>
    <w:next w:val="Standard"/>
    <w:qFormat/>
    <w:pPr>
      <w:spacing w:before="240" w:after="240"/>
      <w:outlineLvl w:val="4"/>
    </w:pPr>
    <w:rPr>
      <w:rFonts w:ascii="Helvetica" w:hAnsi="Helvetica"/>
      <w:sz w:val="20"/>
    </w:rPr>
  </w:style>
  <w:style w:type="paragraph" w:styleId="berschrift6">
    <w:name w:val="heading 6"/>
    <w:basedOn w:val="berschrift5"/>
    <w:next w:val="Standard"/>
    <w:qFormat/>
    <w:pPr>
      <w:outlineLvl w:val="5"/>
    </w:pPr>
  </w:style>
  <w:style w:type="paragraph" w:styleId="berschrift7">
    <w:name w:val="heading 7"/>
    <w:basedOn w:val="berschrift6"/>
    <w:next w:val="Standard"/>
    <w:qFormat/>
    <w:pPr>
      <w:outlineLvl w:val="6"/>
    </w:pPr>
  </w:style>
  <w:style w:type="paragraph" w:styleId="berschrift8">
    <w:name w:val="heading 8"/>
    <w:basedOn w:val="berschrift7"/>
    <w:next w:val="Standard"/>
    <w:qFormat/>
    <w:pPr>
      <w:outlineLvl w:val="7"/>
    </w:pPr>
  </w:style>
  <w:style w:type="paragraph" w:styleId="berschrift9">
    <w:name w:val="heading 9"/>
    <w:basedOn w:val="berschrift8"/>
    <w:next w:val="Standard"/>
    <w:qFormat/>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sz w:val="24"/>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Textkrper-Zeileneinzug">
    <w:name w:val="Body Text Indent"/>
    <w:basedOn w:val="Standard"/>
    <w:semiHidden/>
    <w:pPr>
      <w:spacing w:line="360" w:lineRule="auto"/>
      <w:ind w:left="708"/>
      <w:jc w:val="both"/>
    </w:pPr>
    <w:rPr>
      <w:rFonts w:ascii="FuturaA Bk BT" w:hAnsi="FuturaA Bk BT"/>
    </w:rPr>
  </w:style>
  <w:style w:type="character" w:styleId="Hyperlink">
    <w:name w:val="Hyperlink"/>
    <w:semiHidden/>
    <w:rPr>
      <w:color w:val="0000FF"/>
      <w:u w:val="single"/>
    </w:rPr>
  </w:style>
  <w:style w:type="character" w:styleId="Seitenzahl">
    <w:name w:val="page number"/>
    <w:basedOn w:val="Absatz-Standardschriftart"/>
    <w:semiHidden/>
  </w:style>
  <w:style w:type="paragraph" w:styleId="Textkrper3">
    <w:name w:val="Body Text 3"/>
    <w:basedOn w:val="Standard"/>
    <w:semiHidden/>
    <w:rPr>
      <w:sz w:val="16"/>
    </w:rPr>
  </w:style>
  <w:style w:type="paragraph" w:styleId="Textkrper2">
    <w:name w:val="Body Text 2"/>
    <w:basedOn w:val="Standard"/>
    <w:semiHidden/>
    <w:pPr>
      <w:spacing w:line="360" w:lineRule="auto"/>
      <w:jc w:val="both"/>
    </w:pPr>
  </w:style>
  <w:style w:type="table" w:styleId="Tabellenraster">
    <w:name w:val="Table Grid"/>
    <w:basedOn w:val="NormaleTabelle"/>
    <w:uiPriority w:val="59"/>
    <w:rsid w:val="002C54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uiPriority w:val="99"/>
    <w:semiHidden/>
    <w:unhideWhenUsed/>
    <w:rsid w:val="002D6674"/>
    <w:rPr>
      <w:color w:val="808080"/>
      <w:shd w:val="clear" w:color="auto" w:fill="E6E6E6"/>
    </w:rPr>
  </w:style>
  <w:style w:type="paragraph" w:styleId="Sprechblasentext">
    <w:name w:val="Balloon Text"/>
    <w:basedOn w:val="Standard"/>
    <w:link w:val="SprechblasentextZchn"/>
    <w:uiPriority w:val="99"/>
    <w:semiHidden/>
    <w:unhideWhenUsed/>
    <w:rsid w:val="002D6674"/>
    <w:rPr>
      <w:rFonts w:cs="Arial"/>
      <w:sz w:val="18"/>
      <w:szCs w:val="18"/>
    </w:rPr>
  </w:style>
  <w:style w:type="character" w:customStyle="1" w:styleId="SprechblasentextZchn">
    <w:name w:val="Sprechblasentext Zchn"/>
    <w:link w:val="Sprechblasentext"/>
    <w:uiPriority w:val="99"/>
    <w:semiHidden/>
    <w:rsid w:val="002D6674"/>
    <w:rPr>
      <w:rFonts w:ascii="Arial" w:hAnsi="Arial" w:cs="Arial"/>
      <w:sz w:val="18"/>
      <w:szCs w:val="18"/>
    </w:rPr>
  </w:style>
  <w:style w:type="character" w:styleId="Kommentarzeichen">
    <w:name w:val="annotation reference"/>
    <w:uiPriority w:val="99"/>
    <w:semiHidden/>
    <w:unhideWhenUsed/>
    <w:rsid w:val="00E4283A"/>
    <w:rPr>
      <w:sz w:val="16"/>
      <w:szCs w:val="16"/>
    </w:rPr>
  </w:style>
  <w:style w:type="paragraph" w:styleId="Kommentartext">
    <w:name w:val="annotation text"/>
    <w:basedOn w:val="Standard"/>
    <w:link w:val="KommentartextZchn"/>
    <w:uiPriority w:val="99"/>
    <w:semiHidden/>
    <w:unhideWhenUsed/>
    <w:rsid w:val="00E4283A"/>
  </w:style>
  <w:style w:type="character" w:customStyle="1" w:styleId="KommentartextZchn">
    <w:name w:val="Kommentartext Zchn"/>
    <w:link w:val="Kommentartext"/>
    <w:uiPriority w:val="99"/>
    <w:semiHidden/>
    <w:rsid w:val="00E4283A"/>
    <w:rPr>
      <w:rFonts w:ascii="Arial" w:hAnsi="Arial"/>
    </w:rPr>
  </w:style>
  <w:style w:type="paragraph" w:styleId="Kommentarthema">
    <w:name w:val="annotation subject"/>
    <w:basedOn w:val="Kommentartext"/>
    <w:next w:val="Kommentartext"/>
    <w:link w:val="KommentarthemaZchn"/>
    <w:uiPriority w:val="99"/>
    <w:semiHidden/>
    <w:unhideWhenUsed/>
    <w:rsid w:val="00E4283A"/>
    <w:rPr>
      <w:b/>
      <w:bCs/>
    </w:rPr>
  </w:style>
  <w:style w:type="character" w:customStyle="1" w:styleId="KommentarthemaZchn">
    <w:name w:val="Kommentarthema Zchn"/>
    <w:link w:val="Kommentarthema"/>
    <w:uiPriority w:val="99"/>
    <w:semiHidden/>
    <w:rsid w:val="00E4283A"/>
    <w:rPr>
      <w:rFonts w:ascii="Arial" w:hAnsi="Arial"/>
      <w:b/>
      <w:bCs/>
    </w:rPr>
  </w:style>
  <w:style w:type="paragraph" w:styleId="Listenabsatz">
    <w:name w:val="List Paragraph"/>
    <w:basedOn w:val="Standard"/>
    <w:uiPriority w:val="34"/>
    <w:qFormat/>
    <w:rsid w:val="00D162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3946</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gii  die Presse-Agentur GmbH</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Team 12</dc:creator>
  <cp:keywords/>
  <cp:lastModifiedBy>Annika Schlee--gii</cp:lastModifiedBy>
  <cp:revision>7</cp:revision>
  <cp:lastPrinted>2017-11-15T09:02:00Z</cp:lastPrinted>
  <dcterms:created xsi:type="dcterms:W3CDTF">2024-02-22T14:49:00Z</dcterms:created>
  <dcterms:modified xsi:type="dcterms:W3CDTF">2024-02-27T14:33:00Z</dcterms:modified>
</cp:coreProperties>
</file>